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92FA" w14:textId="4002DC22" w:rsidR="00A1077F" w:rsidRPr="00837860" w:rsidRDefault="00837860" w:rsidP="00A1077F">
      <w:pPr>
        <w:pStyle w:val="BodyText"/>
        <w:jc w:val="center"/>
        <w:rPr>
          <w:b/>
          <w:bCs/>
          <w:sz w:val="40"/>
          <w:szCs w:val="40"/>
        </w:rPr>
      </w:pPr>
      <w:proofErr w:type="spellStart"/>
      <w:r w:rsidRPr="00837860">
        <w:rPr>
          <w:b/>
          <w:bCs/>
          <w:sz w:val="40"/>
          <w:szCs w:val="40"/>
        </w:rPr>
        <w:t>Lockstown</w:t>
      </w:r>
      <w:proofErr w:type="spellEnd"/>
      <w:r w:rsidRPr="00837860">
        <w:rPr>
          <w:b/>
          <w:bCs/>
          <w:sz w:val="40"/>
          <w:szCs w:val="40"/>
        </w:rPr>
        <w:t xml:space="preserve"> Practice</w:t>
      </w:r>
    </w:p>
    <w:p w14:paraId="56FA3037" w14:textId="77777777" w:rsidR="00A1077F" w:rsidRPr="00BF387E" w:rsidRDefault="00A1077F" w:rsidP="00A1077F">
      <w:pPr>
        <w:pStyle w:val="BodyText"/>
        <w:rPr>
          <w:sz w:val="20"/>
        </w:rPr>
      </w:pPr>
    </w:p>
    <w:p w14:paraId="571889C4" w14:textId="77777777" w:rsidR="00A1077F" w:rsidRPr="00BF387E" w:rsidRDefault="00A1077F" w:rsidP="00A1077F">
      <w:pPr>
        <w:pStyle w:val="BodyText"/>
        <w:rPr>
          <w:sz w:val="20"/>
        </w:rPr>
      </w:pPr>
    </w:p>
    <w:p w14:paraId="092C9D7E" w14:textId="77777777" w:rsidR="00A1077F" w:rsidRDefault="00A1077F" w:rsidP="00A1077F">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77777777" w:rsidR="00A1077F" w:rsidRPr="00BF387E" w:rsidRDefault="00A1077F" w:rsidP="00936718">
            <w:pPr>
              <w:rPr>
                <w:rFonts w:cs="Arial"/>
              </w:rPr>
            </w:pPr>
            <w:r w:rsidRPr="00BF387E">
              <w:rPr>
                <w:rFonts w:cs="Arial"/>
              </w:rPr>
              <w:t>…</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6CB18F89" w:rsidR="00A1077F" w:rsidRPr="00BF387E" w:rsidRDefault="00A1077F" w:rsidP="00936718">
            <w:pPr>
              <w:rPr>
                <w:rFonts w:cs="Arial"/>
              </w:rPr>
            </w:pPr>
            <w:r w:rsidRPr="00BF387E">
              <w:rPr>
                <w:rFonts w:cs="Arial"/>
                <w:color w:val="000000"/>
              </w:rPr>
              <w:t xml:space="preserve">This </w:t>
            </w:r>
            <w:r>
              <w:rPr>
                <w:rFonts w:cs="Arial"/>
                <w:color w:val="000000"/>
              </w:rPr>
              <w:t xml:space="preserve">Policy provides advice to practices </w:t>
            </w:r>
            <w:proofErr w:type="gramStart"/>
            <w:r>
              <w:rPr>
                <w:rFonts w:cs="Arial"/>
                <w:color w:val="000000"/>
              </w:rPr>
              <w:t>in regard to</w:t>
            </w:r>
            <w:proofErr w:type="gramEnd"/>
            <w:r>
              <w:rPr>
                <w:rFonts w:cs="Arial"/>
                <w:color w:val="000000"/>
              </w:rPr>
              <w:t xml:space="preserve">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77777777" w:rsidR="00A1077F" w:rsidRPr="00BF387E" w:rsidRDefault="00A1077F" w:rsidP="00936718">
            <w:pPr>
              <w:rPr>
                <w:rFonts w:cs="Arial"/>
              </w:rPr>
            </w:pPr>
            <w:r w:rsidRPr="00BF387E">
              <w:rPr>
                <w:rFonts w:cs="Arial"/>
              </w:rPr>
              <w:t>Developed by:</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77777777" w:rsidR="00A1077F" w:rsidRPr="00BF387E" w:rsidRDefault="00A1077F" w:rsidP="00936718">
            <w:pPr>
              <w:rPr>
                <w:rFonts w:cs="Arial"/>
              </w:rPr>
            </w:pPr>
            <w:r w:rsidRPr="00BF387E">
              <w:rPr>
                <w:rFonts w:cs="Arial"/>
              </w:rPr>
              <w:t>Practice Manager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77777777"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2025/26</w:t>
            </w:r>
          </w:p>
        </w:tc>
      </w:tr>
    </w:tbl>
    <w:p w14:paraId="412B8D5B" w14:textId="77777777" w:rsidR="00A1077F" w:rsidRPr="00BF387E" w:rsidRDefault="00A1077F" w:rsidP="00A1077F">
      <w:pPr>
        <w:pStyle w:val="BodyText"/>
        <w:rPr>
          <w:b/>
          <w:sz w:val="34"/>
        </w:rPr>
      </w:pPr>
    </w:p>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0FF644F1" w14:textId="77777777" w:rsidR="00A1077F" w:rsidRPr="00BF387E" w:rsidRDefault="00A1077F" w:rsidP="00A1077F">
      <w:pPr>
        <w:jc w:val="center"/>
        <w:rPr>
          <w:rFonts w:cs="Arial"/>
          <w:b/>
          <w:bCs/>
        </w:rPr>
      </w:pPr>
    </w:p>
    <w:p w14:paraId="75BF86D2" w14:textId="77777777" w:rsidR="00A1077F" w:rsidRDefault="00A1077F" w:rsidP="00A1077F">
      <w:pPr>
        <w:spacing w:before="0" w:after="0"/>
        <w:rPr>
          <w:rFonts w:ascii="Calibri" w:hAnsi="Calibri" w:cs="Calibri"/>
          <w:b/>
          <w:color w:val="548DD4"/>
          <w:sz w:val="24"/>
          <w:szCs w:val="24"/>
        </w:rPr>
      </w:pPr>
      <w:bookmarkStart w:id="0" w:name="WarningText"/>
      <w:bookmarkEnd w:id="0"/>
      <w:r w:rsidRPr="00BF387E">
        <w:br w:type="page"/>
      </w:r>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0CBCB10A" w14:textId="6214A429" w:rsidR="00A62759"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1483860" w:history="1">
            <w:r w:rsidR="00A62759" w:rsidRPr="00921FF8">
              <w:rPr>
                <w:rStyle w:val="Hyperlink"/>
                <w:noProof/>
                <w:lang w:eastAsia="en-GB"/>
              </w:rPr>
              <w:t>Introduction</w:t>
            </w:r>
            <w:r w:rsidR="00A62759">
              <w:rPr>
                <w:noProof/>
                <w:webHidden/>
              </w:rPr>
              <w:tab/>
            </w:r>
            <w:r w:rsidR="00A62759">
              <w:rPr>
                <w:noProof/>
                <w:webHidden/>
              </w:rPr>
              <w:fldChar w:fldCharType="begin"/>
            </w:r>
            <w:r w:rsidR="00A62759">
              <w:rPr>
                <w:noProof/>
                <w:webHidden/>
              </w:rPr>
              <w:instrText xml:space="preserve"> PAGEREF _Toc231483860 \h </w:instrText>
            </w:r>
            <w:r w:rsidR="00A62759">
              <w:rPr>
                <w:noProof/>
                <w:webHidden/>
              </w:rPr>
            </w:r>
            <w:r w:rsidR="00A62759">
              <w:rPr>
                <w:noProof/>
                <w:webHidden/>
              </w:rPr>
              <w:fldChar w:fldCharType="separate"/>
            </w:r>
            <w:r w:rsidR="00A62759">
              <w:rPr>
                <w:noProof/>
                <w:webHidden/>
              </w:rPr>
              <w:t>4</w:t>
            </w:r>
            <w:r w:rsidR="00A62759">
              <w:rPr>
                <w:noProof/>
                <w:webHidden/>
              </w:rPr>
              <w:fldChar w:fldCharType="end"/>
            </w:r>
          </w:hyperlink>
        </w:p>
        <w:p w14:paraId="3DE0934A" w14:textId="5F22DB6C"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1" w:history="1">
            <w:r w:rsidRPr="00921FF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Pr>
                <w:noProof/>
                <w:webHidden/>
              </w:rPr>
              <w:t>4</w:t>
            </w:r>
            <w:r>
              <w:rPr>
                <w:noProof/>
                <w:webHidden/>
              </w:rPr>
              <w:fldChar w:fldCharType="end"/>
            </w:r>
          </w:hyperlink>
        </w:p>
        <w:p w14:paraId="6B7F62BC" w14:textId="1A435CF1"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2" w:history="1">
            <w:r w:rsidRPr="00921FF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Pr>
                <w:noProof/>
                <w:webHidden/>
              </w:rPr>
              <w:t>5</w:t>
            </w:r>
            <w:r>
              <w:rPr>
                <w:noProof/>
                <w:webHidden/>
              </w:rPr>
              <w:fldChar w:fldCharType="end"/>
            </w:r>
          </w:hyperlink>
        </w:p>
        <w:p w14:paraId="10FBB2DF" w14:textId="3CCF36F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3" w:history="1">
            <w:r w:rsidRPr="00921FF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Pr>
                <w:noProof/>
                <w:webHidden/>
              </w:rPr>
              <w:t>6</w:t>
            </w:r>
            <w:r>
              <w:rPr>
                <w:noProof/>
                <w:webHidden/>
              </w:rPr>
              <w:fldChar w:fldCharType="end"/>
            </w:r>
          </w:hyperlink>
        </w:p>
        <w:p w14:paraId="2309D022" w14:textId="7766C05E"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4" w:history="1">
            <w:r w:rsidRPr="00921FF8">
              <w:rPr>
                <w:rStyle w:val="Hyperlink"/>
                <w:noProof/>
                <w:lang w:eastAsia="en-GB"/>
              </w:rPr>
              <w:t>Investigating the complaint</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Pr>
                <w:noProof/>
                <w:webHidden/>
              </w:rPr>
              <w:t>7</w:t>
            </w:r>
            <w:r>
              <w:rPr>
                <w:noProof/>
                <w:webHidden/>
              </w:rPr>
              <w:fldChar w:fldCharType="end"/>
            </w:r>
          </w:hyperlink>
        </w:p>
        <w:p w14:paraId="4A8267E4" w14:textId="5126F48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5" w:history="1">
            <w:r w:rsidRPr="00921FF8">
              <w:rPr>
                <w:rStyle w:val="Hyperlink"/>
                <w:noProof/>
                <w:lang w:eastAsia="en-GB"/>
              </w:rPr>
              <w:t>Inform the DPO</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Pr>
                <w:noProof/>
                <w:webHidden/>
              </w:rPr>
              <w:t>7</w:t>
            </w:r>
            <w:r>
              <w:rPr>
                <w:noProof/>
                <w:webHidden/>
              </w:rPr>
              <w:fldChar w:fldCharType="end"/>
            </w:r>
          </w:hyperlink>
        </w:p>
        <w:p w14:paraId="07D870DF" w14:textId="6D59066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6" w:history="1">
            <w:r w:rsidRPr="00921FF8">
              <w:rPr>
                <w:rStyle w:val="Hyperlink"/>
                <w:noProof/>
                <w:lang w:eastAsia="en-GB"/>
              </w:rPr>
              <w:t>Complaints from children</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Pr>
                <w:noProof/>
                <w:webHidden/>
              </w:rPr>
              <w:t>8</w:t>
            </w:r>
            <w:r>
              <w:rPr>
                <w:noProof/>
                <w:webHidden/>
              </w:rPr>
              <w:fldChar w:fldCharType="end"/>
            </w:r>
          </w:hyperlink>
        </w:p>
        <w:p w14:paraId="156EC2BA" w14:textId="24DA50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7" w:history="1">
            <w:r w:rsidRPr="00921FF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Pr>
                <w:noProof/>
                <w:webHidden/>
              </w:rPr>
              <w:t>8</w:t>
            </w:r>
            <w:r>
              <w:rPr>
                <w:noProof/>
                <w:webHidden/>
              </w:rPr>
              <w:fldChar w:fldCharType="end"/>
            </w:r>
          </w:hyperlink>
        </w:p>
        <w:p w14:paraId="55311763" w14:textId="25C6E2C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8" w:history="1">
            <w:r w:rsidRPr="00921FF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Pr>
                <w:noProof/>
                <w:webHidden/>
              </w:rPr>
              <w:t>8</w:t>
            </w:r>
            <w:r>
              <w:rPr>
                <w:noProof/>
                <w:webHidden/>
              </w:rPr>
              <w:fldChar w:fldCharType="end"/>
            </w:r>
          </w:hyperlink>
        </w:p>
        <w:p w14:paraId="575B052F" w14:textId="7093B90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9" w:history="1">
            <w:r w:rsidRPr="00921FF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Pr>
                <w:noProof/>
                <w:webHidden/>
              </w:rPr>
              <w:t>9</w:t>
            </w:r>
            <w:r>
              <w:rPr>
                <w:noProof/>
                <w:webHidden/>
              </w:rPr>
              <w:fldChar w:fldCharType="end"/>
            </w:r>
          </w:hyperlink>
        </w:p>
        <w:p w14:paraId="59E2BC35" w14:textId="0EFC3D04"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0" w:history="1">
            <w:r w:rsidRPr="00921FF8">
              <w:rPr>
                <w:rStyle w:val="Hyperlink"/>
                <w:noProof/>
              </w:rPr>
              <w:t>Keep the patient informed</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Pr>
                <w:noProof/>
                <w:webHidden/>
              </w:rPr>
              <w:t>9</w:t>
            </w:r>
            <w:r>
              <w:rPr>
                <w:noProof/>
                <w:webHidden/>
              </w:rPr>
              <w:fldChar w:fldCharType="end"/>
            </w:r>
          </w:hyperlink>
        </w:p>
        <w:p w14:paraId="6A5B18D0" w14:textId="67FA81C9"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1" w:history="1">
            <w:r w:rsidRPr="00921FF8">
              <w:rPr>
                <w:rStyle w:val="Hyperlink"/>
                <w:noProof/>
                <w:lang w:eastAsia="en-GB"/>
              </w:rPr>
              <w:t>Record your actions</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Pr>
                <w:noProof/>
                <w:webHidden/>
              </w:rPr>
              <w:t>10</w:t>
            </w:r>
            <w:r>
              <w:rPr>
                <w:noProof/>
                <w:webHidden/>
              </w:rPr>
              <w:fldChar w:fldCharType="end"/>
            </w:r>
          </w:hyperlink>
        </w:p>
        <w:p w14:paraId="43D3E26B" w14:textId="337131F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2" w:history="1">
            <w:r w:rsidRPr="00921FF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Pr>
                <w:noProof/>
                <w:webHidden/>
              </w:rPr>
              <w:t>10</w:t>
            </w:r>
            <w:r>
              <w:rPr>
                <w:noProof/>
                <w:webHidden/>
              </w:rPr>
              <w:fldChar w:fldCharType="end"/>
            </w:r>
          </w:hyperlink>
        </w:p>
        <w:p w14:paraId="32A1EA34" w14:textId="4FBF81B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3" w:history="1">
            <w:r w:rsidRPr="00921FF8">
              <w:rPr>
                <w:rStyle w:val="Hyperlink"/>
                <w:noProof/>
                <w:lang w:eastAsia="en-GB"/>
              </w:rPr>
              <w:t>Review the lessons learned</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Pr>
                <w:noProof/>
                <w:webHidden/>
              </w:rPr>
              <w:t>11</w:t>
            </w:r>
            <w:r>
              <w:rPr>
                <w:noProof/>
                <w:webHidden/>
              </w:rPr>
              <w:fldChar w:fldCharType="end"/>
            </w:r>
          </w:hyperlink>
        </w:p>
        <w:p w14:paraId="08A2A3BC" w14:textId="28AAFA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4" w:history="1">
            <w:r w:rsidRPr="00921FF8">
              <w:rPr>
                <w:rStyle w:val="Hyperlink"/>
                <w:noProof/>
              </w:rPr>
              <w:t>Equality and Diversity</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Pr>
                <w:noProof/>
                <w:webHidden/>
              </w:rPr>
              <w:t>11</w:t>
            </w:r>
            <w:r>
              <w:rPr>
                <w:noProof/>
                <w:webHidden/>
              </w:rPr>
              <w:fldChar w:fldCharType="end"/>
            </w:r>
          </w:hyperlink>
        </w:p>
        <w:p w14:paraId="62702AC7" w14:textId="08778447"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5" w:history="1">
            <w:r w:rsidRPr="00921FF8">
              <w:rPr>
                <w:rStyle w:val="Hyperlink"/>
                <w:noProof/>
              </w:rPr>
              <w:t>Due Regard</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Pr>
                <w:noProof/>
                <w:webHidden/>
              </w:rPr>
              <w:t>11</w:t>
            </w:r>
            <w:r>
              <w:rPr>
                <w:noProof/>
                <w:webHidden/>
              </w:rPr>
              <w:fldChar w:fldCharType="end"/>
            </w:r>
          </w:hyperlink>
        </w:p>
        <w:p w14:paraId="0425F913" w14:textId="47CC277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6" w:history="1">
            <w:r w:rsidRPr="00921FF8">
              <w:rPr>
                <w:rStyle w:val="Hyperlink"/>
                <w:noProof/>
              </w:rPr>
              <w:t>Policy Review and Monitoring</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Pr>
                <w:noProof/>
                <w:webHidden/>
              </w:rPr>
              <w:t>12</w:t>
            </w:r>
            <w:r>
              <w:rPr>
                <w:noProof/>
                <w:webHidden/>
              </w:rPr>
              <w:fldChar w:fldCharType="end"/>
            </w:r>
          </w:hyperlink>
        </w:p>
        <w:p w14:paraId="59647D03" w14:textId="3FD10D24"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1" w:name="_Toc231483860"/>
      <w:r>
        <w:rPr>
          <w:lang w:eastAsia="en-GB"/>
        </w:rPr>
        <w:lastRenderedPageBreak/>
        <w:t>Introduction</w:t>
      </w:r>
      <w:bookmarkEnd w:id="1"/>
    </w:p>
    <w:p w14:paraId="7745AD90" w14:textId="77777777" w:rsidR="00A1077F" w:rsidRDefault="00A1077F" w:rsidP="00A1077F">
      <w:pPr>
        <w:rPr>
          <w:rFonts w:ascii="Helvetica Neue" w:hAnsi="Helvetica Neue"/>
          <w:color w:val="000000"/>
          <w:lang w:eastAsia="en-GB"/>
        </w:rPr>
      </w:pPr>
    </w:p>
    <w:p w14:paraId="4606592E" w14:textId="74935BB9"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xml:space="preserve">, 2026. This gives individuals the right to complain directly to a data controller, (the practice) and requires </w:t>
      </w:r>
      <w:proofErr w:type="spellStart"/>
      <w:r w:rsidR="00837860">
        <w:rPr>
          <w:rFonts w:cs="Arial"/>
          <w:color w:val="000000"/>
          <w:lang w:eastAsia="en-GB"/>
        </w:rPr>
        <w:t>Lockstown</w:t>
      </w:r>
      <w:proofErr w:type="spellEnd"/>
      <w:r w:rsidR="00837860">
        <w:rPr>
          <w:rFonts w:cs="Arial"/>
          <w:color w:val="000000"/>
          <w:lang w:eastAsia="en-GB"/>
        </w:rPr>
        <w:t xml:space="preserve"> Practice</w:t>
      </w:r>
      <w:r w:rsidRPr="005A75B9">
        <w:rPr>
          <w:rFonts w:cs="Arial"/>
          <w:color w:val="000000"/>
          <w:lang w:eastAsia="en-GB"/>
        </w:rPr>
        <w:t xml:space="preserv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2" w:name="_Toc231483861"/>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2"/>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03224074" w:rsidR="00A1077F" w:rsidRPr="005A75B9" w:rsidRDefault="00837860" w:rsidP="00A1077F">
      <w:pPr>
        <w:rPr>
          <w:rFonts w:cs="Arial"/>
          <w:color w:val="000000"/>
          <w:lang w:eastAsia="en-GB"/>
        </w:rPr>
      </w:pPr>
      <w:proofErr w:type="spellStart"/>
      <w:r>
        <w:rPr>
          <w:rFonts w:cs="Arial"/>
          <w:color w:val="000000"/>
          <w:lang w:eastAsia="en-GB"/>
        </w:rPr>
        <w:t>Lockstown</w:t>
      </w:r>
      <w:proofErr w:type="spellEnd"/>
      <w:r>
        <w:rPr>
          <w:rFonts w:cs="Arial"/>
          <w:color w:val="000000"/>
          <w:lang w:eastAsia="en-GB"/>
        </w:rPr>
        <w:t xml:space="preserve"> Practice</w:t>
      </w:r>
      <w:r w:rsidR="00A1077F" w:rsidRPr="005A75B9">
        <w:rPr>
          <w:rFonts w:cs="Arial"/>
          <w:color w:val="000000"/>
          <w:lang w:eastAsia="en-GB"/>
        </w:rPr>
        <w:t xml:space="preserve"> meets the following statutory obligations: </w:t>
      </w:r>
    </w:p>
    <w:p w14:paraId="5EDB1902" w14:textId="77777777" w:rsidR="00A1077F" w:rsidRPr="005A75B9" w:rsidRDefault="00A1077F" w:rsidP="00A1077F">
      <w:pPr>
        <w:rPr>
          <w:rFonts w:cs="Arial"/>
          <w:color w:val="000000"/>
          <w:lang w:eastAsia="en-GB"/>
        </w:rPr>
      </w:pPr>
    </w:p>
    <w:p w14:paraId="7B9D5977" w14:textId="38C446EA"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Providing patients with a straightforward way to raise a data protection complaint, this contact</w:t>
      </w:r>
      <w:r w:rsidR="00837860">
        <w:rPr>
          <w:rFonts w:cs="Arial"/>
          <w:color w:val="000000"/>
          <w:lang w:eastAsia="en-GB"/>
        </w:rPr>
        <w:t xml:space="preserve"> </w:t>
      </w:r>
      <w:hyperlink r:id="rId8" w:history="1">
        <w:r w:rsidR="00837860" w:rsidRPr="00510735">
          <w:rPr>
            <w:rStyle w:val="Hyperlink"/>
            <w:rFonts w:cs="Arial"/>
            <w:lang w:eastAsia="en-GB"/>
          </w:rPr>
          <w:t>bcicb.lockstownpractice@nhs.net</w:t>
        </w:r>
      </w:hyperlink>
      <w:r w:rsidR="00837860">
        <w:rPr>
          <w:rFonts w:cs="Arial"/>
          <w:color w:val="000000"/>
          <w:lang w:eastAsia="en-GB"/>
        </w:rPr>
        <w:t xml:space="preserve"> </w:t>
      </w:r>
      <w:r w:rsidRPr="005A75B9">
        <w:rPr>
          <w:rFonts w:cs="Arial"/>
          <w:color w:val="000000"/>
          <w:lang w:eastAsia="en-GB"/>
        </w:rPr>
        <w:t>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6A1F46DE"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Informing the practice 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Pr="005A75B9"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3" w:name="_Toc231483862"/>
      <w:r w:rsidRPr="00316620">
        <w:rPr>
          <w:rFonts w:eastAsia="Times New Roman"/>
          <w:lang w:eastAsia="en-GB"/>
        </w:rPr>
        <w:lastRenderedPageBreak/>
        <w:t>What are data protection complaints?</w:t>
      </w:r>
      <w:bookmarkEnd w:id="3"/>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4" w:name="_Toc231483863"/>
      <w:r w:rsidRPr="00DE04A1">
        <w:rPr>
          <w:rFonts w:eastAsia="Times New Roman"/>
          <w:lang w:eastAsia="en-GB"/>
        </w:rPr>
        <w:lastRenderedPageBreak/>
        <w:t>What do we do when we receive a complaint?</w:t>
      </w:r>
      <w:bookmarkEnd w:id="4"/>
    </w:p>
    <w:p w14:paraId="3D6099BB" w14:textId="32C5A8EE"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 xml:space="preserve">acknowledge receipt of the complaint within 30 days. What information you include is up to you, but the important thing is that you confirm you’ve received </w:t>
      </w:r>
      <w:proofErr w:type="gramStart"/>
      <w:r w:rsidRPr="005A75B9">
        <w:rPr>
          <w:rFonts w:cs="Arial"/>
          <w:color w:val="000000"/>
          <w:lang w:eastAsia="en-GB"/>
        </w:rPr>
        <w:t>it</w:t>
      </w:r>
      <w:proofErr w:type="gramEnd"/>
      <w:r w:rsidRPr="005A75B9">
        <w:rPr>
          <w:rFonts w:cs="Arial"/>
          <w:color w:val="000000"/>
          <w:lang w:eastAsia="en-GB"/>
        </w:rPr>
        <w:t xml:space="preserve">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2946F5F7"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w:t>
      </w:r>
      <w:proofErr w:type="spellStart"/>
      <w:r w:rsidRPr="005A75B9">
        <w:rPr>
          <w:rFonts w:cs="Arial"/>
          <w:color w:val="000000"/>
          <w:lang w:eastAsia="en-GB"/>
        </w:rPr>
        <w:t>eg</w:t>
      </w:r>
      <w:proofErr w:type="spellEnd"/>
      <w:r w:rsidRPr="005A75B9">
        <w:rPr>
          <w:rFonts w:cs="Arial"/>
          <w:color w:val="000000"/>
          <w:lang w:eastAsia="en-GB"/>
        </w:rPr>
        <w:t xml:space="preserve"> through email or live chat), you </w:t>
      </w:r>
      <w:r w:rsidRPr="005A75B9">
        <w:rPr>
          <w:rFonts w:cs="Arial"/>
          <w:b/>
          <w:bCs/>
          <w:color w:val="000000"/>
          <w:bdr w:val="single" w:sz="2" w:space="0" w:color="E5E7EB" w:frame="1"/>
          <w:lang w:eastAsia="en-GB"/>
        </w:rPr>
        <w:t>could </w:t>
      </w:r>
      <w:r w:rsidRPr="005A75B9">
        <w:rPr>
          <w:rFonts w:cs="Arial"/>
          <w:color w:val="000000"/>
          <w:lang w:eastAsia="en-GB"/>
        </w:rPr>
        <w:t>use an automatic response, such as auto-acknowledgement emails. 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w:t>
      </w:r>
      <w:proofErr w:type="spellStart"/>
      <w:r w:rsidRPr="005A75B9">
        <w:rPr>
          <w:rFonts w:cs="Arial"/>
          <w:color w:val="000000"/>
          <w:lang w:eastAsia="en-GB"/>
        </w:rPr>
        <w:t>eg</w:t>
      </w:r>
      <w:proofErr w:type="spellEnd"/>
      <w:r w:rsidRPr="005A75B9">
        <w:rPr>
          <w:rFonts w:cs="Arial"/>
          <w:color w:val="000000"/>
          <w:lang w:eastAsia="en-GB"/>
        </w:rPr>
        <w:t xml:space="preserve"> by post), you </w:t>
      </w:r>
      <w:r w:rsidRPr="005A75B9">
        <w:rPr>
          <w:rFonts w:cs="Arial"/>
          <w:b/>
          <w:bCs/>
          <w:color w:val="000000"/>
          <w:bdr w:val="single" w:sz="2" w:space="0" w:color="E5E7EB" w:frame="1"/>
          <w:lang w:eastAsia="en-GB"/>
        </w:rPr>
        <w:t>could</w:t>
      </w:r>
      <w:r w:rsidRPr="005A75B9">
        <w:rPr>
          <w:rFonts w:cs="Arial"/>
          <w:color w:val="000000"/>
          <w:lang w:eastAsia="en-GB"/>
        </w:rPr>
        <w:t> send an acknowledgement letter.</w:t>
      </w:r>
    </w:p>
    <w:p w14:paraId="7466F51A"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w:t>
      </w:r>
      <w:proofErr w:type="spellStart"/>
      <w:r w:rsidRPr="005A75B9">
        <w:rPr>
          <w:rFonts w:cs="Arial"/>
          <w:color w:val="000000"/>
          <w:lang w:eastAsia="en-GB"/>
        </w:rPr>
        <w:t>eg</w:t>
      </w:r>
      <w:proofErr w:type="spellEnd"/>
      <w:r w:rsidRPr="005A75B9">
        <w:rPr>
          <w:rFonts w:cs="Arial"/>
          <w:color w:val="000000"/>
          <w:lang w:eastAsia="en-GB"/>
        </w:rPr>
        <w:t xml:space="preserve">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247BAD56" w14:textId="77777777" w:rsidR="005A75B9" w:rsidRDefault="005A75B9">
      <w:pPr>
        <w:spacing w:before="0" w:after="0"/>
        <w:rPr>
          <w:rFonts w:cs="Arial"/>
          <w:color w:val="000000"/>
          <w:lang w:eastAsia="en-GB"/>
        </w:rPr>
      </w:pPr>
      <w:r>
        <w:rPr>
          <w:rFonts w:cs="Arial"/>
          <w:color w:val="000000"/>
          <w:lang w:eastAsia="en-GB"/>
        </w:rPr>
        <w:br w:type="page"/>
      </w:r>
    </w:p>
    <w:p w14:paraId="44BC851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w:t>
      </w:r>
      <w:proofErr w:type="spellStart"/>
      <w:r w:rsidRPr="005A75B9">
        <w:rPr>
          <w:rFonts w:cs="Arial"/>
          <w:color w:val="000000"/>
          <w:lang w:eastAsia="en-GB"/>
        </w:rPr>
        <w:t>eg</w:t>
      </w:r>
      <w:proofErr w:type="spellEnd"/>
      <w:r w:rsidRPr="005A75B9">
        <w:rPr>
          <w:rFonts w:cs="Arial"/>
          <w:color w:val="000000"/>
          <w:lang w:eastAsia="en-GB"/>
        </w:rPr>
        <w:t xml:space="preserve">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5" w:name="_Toc231483864"/>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5"/>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6" w:name="_Toc231483865"/>
      <w:r>
        <w:rPr>
          <w:lang w:eastAsia="en-GB"/>
        </w:rPr>
        <w:t>Inform the DPO</w:t>
      </w:r>
      <w:bookmarkEnd w:id="6"/>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7" w:name="_Toc231483866"/>
      <w:r w:rsidR="005A75B9">
        <w:rPr>
          <w:rFonts w:eastAsia="Times New Roman"/>
          <w:lang w:eastAsia="en-GB"/>
        </w:rPr>
        <w:lastRenderedPageBreak/>
        <w:t>C</w:t>
      </w:r>
      <w:r w:rsidR="005A75B9" w:rsidRPr="00935D00">
        <w:rPr>
          <w:rFonts w:eastAsia="Times New Roman"/>
          <w:lang w:eastAsia="en-GB"/>
        </w:rPr>
        <w:t>omplaints from children</w:t>
      </w:r>
      <w:bookmarkEnd w:id="7"/>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715B1EDC"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proofErr w:type="spellStart"/>
      <w:r w:rsidR="00837860">
        <w:rPr>
          <w:rFonts w:ascii="Verdana" w:hAnsi="Verdana"/>
          <w:color w:val="000000"/>
          <w:lang w:eastAsia="en-GB"/>
        </w:rPr>
        <w:t>Lockstown</w:t>
      </w:r>
      <w:proofErr w:type="spellEnd"/>
      <w:r w:rsidR="00837860">
        <w:rPr>
          <w:rFonts w:ascii="Verdana" w:hAnsi="Verdana"/>
          <w:color w:val="000000"/>
          <w:lang w:eastAsia="en-GB"/>
        </w:rPr>
        <w:t xml:space="preserve"> Practice </w:t>
      </w:r>
      <w:r w:rsidRPr="00935D00">
        <w:rPr>
          <w:rFonts w:ascii="Verdana" w:hAnsi="Verdana"/>
          <w:color w:val="000000"/>
          <w:lang w:eastAsia="en-GB"/>
        </w:rPr>
        <w:t>receive</w:t>
      </w:r>
      <w:r>
        <w:rPr>
          <w:rFonts w:ascii="Verdana" w:hAnsi="Verdana"/>
          <w:color w:val="000000"/>
          <w:lang w:eastAsia="en-GB"/>
        </w:rPr>
        <w:t>s</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0A7164B3" w:rsidR="005A75B9" w:rsidRDefault="00837860"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proofErr w:type="spellStart"/>
      <w:r>
        <w:rPr>
          <w:rFonts w:ascii="Verdana" w:hAnsi="Verdana"/>
          <w:color w:val="000000"/>
          <w:lang w:eastAsia="en-GB"/>
        </w:rPr>
        <w:t>Lockstown</w:t>
      </w:r>
      <w:proofErr w:type="spellEnd"/>
      <w:r>
        <w:rPr>
          <w:rFonts w:ascii="Verdana" w:hAnsi="Verdana"/>
          <w:color w:val="000000"/>
          <w:lang w:eastAsia="en-GB"/>
        </w:rPr>
        <w:t xml:space="preserve"> Practice </w:t>
      </w:r>
      <w:r w:rsidR="005A75B9" w:rsidRPr="00935D00">
        <w:rPr>
          <w:rFonts w:ascii="Verdana" w:hAnsi="Verdana"/>
          <w:b/>
          <w:bCs/>
          <w:color w:val="000000"/>
          <w:bdr w:val="single" w:sz="2" w:space="0" w:color="E5E7EB" w:frame="1"/>
          <w:lang w:eastAsia="en-GB"/>
        </w:rPr>
        <w:t>must </w:t>
      </w:r>
      <w:r w:rsidR="005A75B9"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8" w:name="_Toc231483867"/>
      <w:r>
        <w:rPr>
          <w:lang w:eastAsia="en-GB"/>
        </w:rPr>
        <w:t xml:space="preserve">Complaints made </w:t>
      </w:r>
      <w:r w:rsidRPr="00935D00">
        <w:rPr>
          <w:rFonts w:eastAsia="Times New Roman"/>
          <w:lang w:eastAsia="en-GB"/>
        </w:rPr>
        <w:t>on behalf of others</w:t>
      </w:r>
      <w:bookmarkEnd w:id="8"/>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9" w:name="_Toc231483868"/>
      <w:r w:rsidRPr="00935D00">
        <w:rPr>
          <w:rFonts w:eastAsia="Times New Roman"/>
          <w:lang w:eastAsia="en-GB"/>
        </w:rPr>
        <w:t>Confirm the complainant’s identity</w:t>
      </w:r>
      <w:bookmarkEnd w:id="9"/>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0" w:name="_Toc231483869"/>
      <w:r w:rsidRPr="00DE04A1">
        <w:rPr>
          <w:rFonts w:eastAsia="Times New Roman"/>
          <w:lang w:eastAsia="en-GB"/>
        </w:rPr>
        <w:lastRenderedPageBreak/>
        <w:t>Investigate the complaint without undue delay</w:t>
      </w:r>
      <w:bookmarkEnd w:id="10"/>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119270FA"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scale of the issue (</w:t>
      </w:r>
      <w:proofErr w:type="spellStart"/>
      <w:r w:rsidRPr="00DE04A1">
        <w:rPr>
          <w:rFonts w:ascii="Verdana" w:hAnsi="Verdana"/>
          <w:color w:val="000000"/>
          <w:lang w:eastAsia="en-GB"/>
        </w:rPr>
        <w:t>eg</w:t>
      </w:r>
      <w:proofErr w:type="spellEnd"/>
      <w:r w:rsidRPr="00DE04A1">
        <w:rPr>
          <w:rFonts w:ascii="Verdana" w:hAnsi="Verdana"/>
          <w:color w:val="000000"/>
          <w:lang w:eastAsia="en-GB"/>
        </w:rPr>
        <w:t xml:space="preserve">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1" w:name="_Toc231483870"/>
      <w:r w:rsidRPr="005A75B9">
        <w:t>Keep the patient informed</w:t>
      </w:r>
      <w:bookmarkEnd w:id="11"/>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2" w:name="_Toc231483871"/>
      <w:r w:rsidRPr="00DE04A1">
        <w:rPr>
          <w:rFonts w:eastAsia="Times New Roman"/>
          <w:lang w:eastAsia="en-GB"/>
        </w:rPr>
        <w:lastRenderedPageBreak/>
        <w:t>Record your actions</w:t>
      </w:r>
      <w:bookmarkEnd w:id="12"/>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date you received the data protection complaint;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your acknowledgement;</w:t>
      </w:r>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relevant conversations and documents;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actions you took </w:t>
      </w:r>
      <w:proofErr w:type="gramStart"/>
      <w:r w:rsidRPr="00DE04A1">
        <w:rPr>
          <w:rFonts w:ascii="Verdana" w:hAnsi="Verdana"/>
          <w:color w:val="000000"/>
          <w:lang w:eastAsia="en-GB"/>
        </w:rPr>
        <w:t>as a result of</w:t>
      </w:r>
      <w:proofErr w:type="gramEnd"/>
      <w:r w:rsidRPr="00DE04A1">
        <w:rPr>
          <w:rFonts w:ascii="Verdana" w:hAnsi="Verdana"/>
          <w:color w:val="000000"/>
          <w:lang w:eastAsia="en-GB"/>
        </w:rPr>
        <w:t xml:space="preserve">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3" w:name="_Toc231483872"/>
      <w:r>
        <w:rPr>
          <w:rFonts w:eastAsia="Times New Roman"/>
          <w:lang w:eastAsia="en-GB"/>
        </w:rPr>
        <w:t>Actions Following the investigation</w:t>
      </w:r>
      <w:bookmarkEnd w:id="13"/>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4" w:name="_Toc231483873"/>
      <w:r w:rsidRPr="00012D03">
        <w:rPr>
          <w:rFonts w:eastAsia="Times New Roman"/>
          <w:lang w:eastAsia="en-GB"/>
        </w:rPr>
        <w:t>Review the lessons learned</w:t>
      </w:r>
      <w:bookmarkEnd w:id="14"/>
    </w:p>
    <w:p w14:paraId="3C56A7DC" w14:textId="265FC17F" w:rsidR="005A75B9"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012D03">
        <w:rPr>
          <w:rFonts w:ascii="Verdana" w:hAnsi="Verdana"/>
          <w:color w:val="000000"/>
          <w:lang w:eastAsia="en-GB"/>
        </w:rPr>
        <w:t xml:space="preserve">Once you’ve provided an outcome, </w:t>
      </w:r>
      <w:proofErr w:type="spellStart"/>
      <w:r w:rsidR="00837860">
        <w:rPr>
          <w:rFonts w:ascii="Verdana" w:hAnsi="Verdana"/>
          <w:color w:val="000000"/>
          <w:lang w:eastAsia="en-GB"/>
        </w:rPr>
        <w:t>Lockstown</w:t>
      </w:r>
      <w:proofErr w:type="spellEnd"/>
      <w:r w:rsidR="00837860">
        <w:rPr>
          <w:rFonts w:ascii="Verdana" w:hAnsi="Verdana"/>
          <w:color w:val="000000"/>
          <w:lang w:eastAsia="en-GB"/>
        </w:rPr>
        <w:t xml:space="preserve"> Practice</w:t>
      </w:r>
      <w:r w:rsidR="005A75B9">
        <w:rPr>
          <w:rFonts w:ascii="Verdana" w:hAnsi="Verdana"/>
          <w:color w:val="000000"/>
          <w:lang w:eastAsia="en-GB"/>
        </w:rPr>
        <w:t xml:space="preserve"> will</w:t>
      </w:r>
      <w:r w:rsidRPr="00012D03">
        <w:rPr>
          <w:rFonts w:ascii="Verdana" w:hAnsi="Verdana"/>
          <w:b/>
          <w:bCs/>
          <w:color w:val="000000"/>
          <w:bdr w:val="single" w:sz="2" w:space="0" w:color="E5E7EB" w:frame="1"/>
          <w:lang w:eastAsia="en-GB"/>
        </w:rPr>
        <w:t> </w:t>
      </w:r>
      <w:r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Pr="00012D03">
        <w:rPr>
          <w:rFonts w:ascii="Verdana" w:hAnsi="Verdana"/>
          <w:color w:val="000000"/>
          <w:lang w:eastAsia="en-GB"/>
        </w:rPr>
        <w:t xml:space="preserve"> learn</w:t>
      </w:r>
      <w:r w:rsidR="005A75B9">
        <w:rPr>
          <w:rFonts w:ascii="Verdana" w:hAnsi="Verdana"/>
          <w:color w:val="000000"/>
          <w:lang w:eastAsia="en-GB"/>
        </w:rPr>
        <w:t>t</w:t>
      </w:r>
      <w:r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5" w:name="_Toc231483874"/>
      <w:r w:rsidR="00B60402" w:rsidRPr="00B60402">
        <w:t>Equality and Diversity</w:t>
      </w:r>
      <w:bookmarkEnd w:id="15"/>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6" w:name="_Toc231483875"/>
      <w:r w:rsidRPr="00B60402">
        <w:t>Due Regard</w:t>
      </w:r>
      <w:bookmarkEnd w:id="16"/>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7" w:name="_Toc231483876"/>
      <w:r>
        <w:lastRenderedPageBreak/>
        <w:t xml:space="preserve">Policy </w:t>
      </w:r>
      <w:r w:rsidR="00B60402" w:rsidRPr="00B60402">
        <w:t>Review and Monitoring</w:t>
      </w:r>
      <w:bookmarkEnd w:id="17"/>
    </w:p>
    <w:p w14:paraId="3884C377" w14:textId="77777777" w:rsidR="00B60402" w:rsidRPr="00B60402" w:rsidRDefault="00B60402" w:rsidP="00B60402">
      <w:pPr>
        <w:rPr>
          <w:rFonts w:cs="Arial"/>
          <w:b/>
          <w:bCs/>
          <w:color w:val="000000" w:themeColor="text1"/>
          <w:szCs w:val="22"/>
        </w:rPr>
      </w:pPr>
    </w:p>
    <w:p w14:paraId="584B713D" w14:textId="77777777" w:rsidR="00B60402" w:rsidRPr="00B60402" w:rsidRDefault="00B60402" w:rsidP="00B60402">
      <w:pPr>
        <w:rPr>
          <w:rFonts w:cs="Arial"/>
          <w:color w:val="000000" w:themeColor="text1"/>
          <w:szCs w:val="22"/>
        </w:rPr>
      </w:pPr>
      <w:r w:rsidRPr="00B60402">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A52D" w14:textId="77777777" w:rsidR="00054884" w:rsidRDefault="00054884" w:rsidP="000445AF">
      <w:pPr>
        <w:spacing w:before="0" w:after="0"/>
      </w:pPr>
      <w:r>
        <w:separator/>
      </w:r>
    </w:p>
  </w:endnote>
  <w:endnote w:type="continuationSeparator" w:id="0">
    <w:p w14:paraId="05E26168" w14:textId="77777777" w:rsidR="00054884" w:rsidRDefault="00054884"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7B70" w14:textId="77777777" w:rsidR="00054884" w:rsidRDefault="00054884" w:rsidP="000445AF">
      <w:pPr>
        <w:spacing w:before="0" w:after="0"/>
      </w:pPr>
      <w:r>
        <w:separator/>
      </w:r>
    </w:p>
  </w:footnote>
  <w:footnote w:type="continuationSeparator" w:id="0">
    <w:p w14:paraId="40285361" w14:textId="77777777" w:rsidR="00054884" w:rsidRDefault="00054884"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054884"/>
    <w:rsid w:val="00164EC7"/>
    <w:rsid w:val="001F5007"/>
    <w:rsid w:val="00214342"/>
    <w:rsid w:val="00364686"/>
    <w:rsid w:val="00384EFD"/>
    <w:rsid w:val="003A6E6B"/>
    <w:rsid w:val="00517FFD"/>
    <w:rsid w:val="00535795"/>
    <w:rsid w:val="005701F3"/>
    <w:rsid w:val="005A75B9"/>
    <w:rsid w:val="005F5533"/>
    <w:rsid w:val="00655CE9"/>
    <w:rsid w:val="006C0002"/>
    <w:rsid w:val="006C1850"/>
    <w:rsid w:val="00777B5A"/>
    <w:rsid w:val="00837860"/>
    <w:rsid w:val="00864831"/>
    <w:rsid w:val="00A1077F"/>
    <w:rsid w:val="00A62759"/>
    <w:rsid w:val="00AD1265"/>
    <w:rsid w:val="00AF3CFF"/>
    <w:rsid w:val="00B60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character" w:styleId="UnresolvedMention">
    <w:name w:val="Unresolved Mention"/>
    <w:basedOn w:val="DefaultParagraphFont"/>
    <w:uiPriority w:val="99"/>
    <w:semiHidden/>
    <w:unhideWhenUsed/>
    <w:rsid w:val="0083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icb.lockstownpractice@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WOLVERSON, Lisa (LOCKSTOWN PRACTICE)</cp:lastModifiedBy>
  <cp:revision>2</cp:revision>
  <dcterms:created xsi:type="dcterms:W3CDTF">2026-06-08T10:30:00Z</dcterms:created>
  <dcterms:modified xsi:type="dcterms:W3CDTF">2026-06-08T10:30:00Z</dcterms:modified>
</cp:coreProperties>
</file>